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Pr="00491C2C" w:rsidRDefault="002D20ED" w:rsidP="00491C2C">
      <w:pPr>
        <w:pStyle w:val="Header"/>
        <w:ind w:firstLine="1276"/>
        <w:rPr>
          <w:color w:val="FF000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8939557</wp:posOffset>
                </wp:positionH>
                <wp:positionV relativeFrom="paragraph">
                  <wp:posOffset>-397455</wp:posOffset>
                </wp:positionV>
                <wp:extent cx="1216108" cy="349857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08" cy="3498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2D20E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2D55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703.9pt;margin-top:-31.3pt;width:95.7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" fillcolor="#f2f2f2 [3052]" stroked="f" strokeweight="1pt">
                <v:textbox>
                  <w:txbxContent>
                    <w:p w:rsidR="002D20ED" w:rsidRPr="00B51668" w:rsidRDefault="002D20E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ฝ่าย</w:t>
                      </w:r>
                      <w:r w:rsidR="002D55A6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วิชาการ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1C2C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491C2C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491C2C">
        <w:rPr>
          <w:rFonts w:ascii="TH SarabunPSK" w:hAnsi="TH SarabunPSK" w:cs="TH SarabunPSK" w:hint="cs"/>
          <w:b/>
          <w:bCs/>
          <w:color w:val="002060"/>
          <w:cs/>
        </w:rPr>
        <w:t xml:space="preserve">       </w:t>
      </w:r>
      <w:r w:rsidR="00491C2C" w:rsidRPr="00843341">
        <w:rPr>
          <w:rFonts w:ascii="TH SarabunPSK" w:hAnsi="TH SarabunPSK" w:cs="TH SarabunPSK" w:hint="cs"/>
          <w:b/>
          <w:bCs/>
          <w:color w:val="FF0000"/>
          <w:szCs w:val="32"/>
          <w:highlight w:val="yellow"/>
          <w:cs/>
        </w:rPr>
        <w:t>เอกสาร</w:t>
      </w:r>
      <w:r w:rsidR="00491C2C">
        <w:rPr>
          <w:rFonts w:ascii="TH SarabunPSK" w:hAnsi="TH SarabunPSK" w:cs="TH SarabunPSK" w:hint="cs"/>
          <w:b/>
          <w:bCs/>
          <w:color w:val="FF0000"/>
          <w:szCs w:val="32"/>
          <w:highlight w:val="yellow"/>
          <w:cs/>
        </w:rPr>
        <w:t>แนบ</w:t>
      </w:r>
      <w:r w:rsidR="00491C2C" w:rsidRPr="00843341">
        <w:rPr>
          <w:rFonts w:ascii="TH SarabunPSK" w:hAnsi="TH SarabunPSK" w:cs="TH SarabunPSK" w:hint="cs"/>
          <w:b/>
          <w:bCs/>
          <w:color w:val="FF0000"/>
          <w:szCs w:val="32"/>
          <w:highlight w:val="yellow"/>
          <w:cs/>
        </w:rPr>
        <w:t xml:space="preserve"> 1</w:t>
      </w:r>
    </w:p>
    <w:p w:rsidR="00C528B0" w:rsidRDefault="00C528B0" w:rsidP="00802483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</w:p>
    <w:p w:rsidR="009B06D8" w:rsidRPr="009B06D8" w:rsidRDefault="009B06D8" w:rsidP="009B06D8">
      <w:pPr>
        <w:spacing w:after="120"/>
        <w:ind w:left="318" w:firstLine="391"/>
        <w:jc w:val="right"/>
        <w:rPr>
          <w:rFonts w:ascii="TH SarabunPSK" w:hAnsi="TH SarabunPSK" w:cs="TH SarabunPSK"/>
          <w:color w:val="538135" w:themeColor="accent6" w:themeShade="BF"/>
          <w:sz w:val="29"/>
          <w:szCs w:val="29"/>
          <w:cs/>
        </w:rPr>
      </w:pPr>
      <w:r w:rsidRPr="009B06D8">
        <w:rPr>
          <w:rFonts w:ascii="TH SarabunPSK" w:hAnsi="TH SarabunPSK" w:cs="TH SarabunPSK" w:hint="cs"/>
          <w:color w:val="538135" w:themeColor="accent6" w:themeShade="BF"/>
          <w:sz w:val="29"/>
          <w:szCs w:val="29"/>
          <w:cs/>
        </w:rPr>
        <w:t>* อักษรสีเขียว เป็นข้อมูลที่ได้รับจากส่วนส่งเสริมและบริการการศึกษา ณ วันที่ 28 ก.พ. 63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491C2C" w:rsidRPr="00CC7CB5" w:rsidTr="00527344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2C" w:rsidRPr="00CC7CB5" w:rsidRDefault="00491C2C" w:rsidP="00491C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1C2C" w:rsidRPr="00477265" w:rsidRDefault="00491C2C" w:rsidP="00491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491C2C" w:rsidRPr="00477265" w:rsidRDefault="00491C2C" w:rsidP="00491C2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1C2C" w:rsidRPr="000071A7" w:rsidRDefault="00491C2C" w:rsidP="000071A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8432A7" w:rsidRDefault="002D55A6" w:rsidP="002D55A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318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ควรวางแผนการพัฒนาหลักสูตรในอนาคต เพื่อเพิ่มสมรรถนะในการแข่งขัน </w:t>
            </w:r>
          </w:p>
          <w:p w:rsidR="002D55A6" w:rsidRPr="008432A7" w:rsidRDefault="002D55A6" w:rsidP="00527344">
            <w:pPr>
              <w:pStyle w:val="ListParagraph"/>
              <w:autoSpaceDE w:val="0"/>
              <w:autoSpaceDN w:val="0"/>
              <w:adjustRightInd w:val="0"/>
              <w:ind w:left="318" w:right="-108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มีการทบทวนการออกแบบ</w:t>
            </w:r>
            <w:r w:rsidRPr="008432A7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หลักสูตร</w:t>
            </w:r>
            <w:r w:rsidRPr="008432A7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ปรับเปลี่ยนเป้าหมาย</w:t>
            </w:r>
            <w:r w:rsidRPr="008432A7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เพื่อการพัฒนาเป็นระยะ </w:t>
            </w:r>
          </w:p>
          <w:p w:rsidR="002D55A6" w:rsidRDefault="002D55A6" w:rsidP="00527344">
            <w:pPr>
              <w:pStyle w:val="ListParagraph"/>
              <w:autoSpaceDE w:val="0"/>
              <w:autoSpaceDN w:val="0"/>
              <w:adjustRightInd w:val="0"/>
              <w:ind w:left="318"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(ทุก 3 ปี) โดยคำนึงถึงการเปลี่ยนแปลงยุคดิจิทัล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แนวโน้มของสังคมผู้สูงอายุ และภาษา</w:t>
            </w:r>
          </w:p>
          <w:p w:rsidR="002D55A6" w:rsidRPr="008432A7" w:rsidRDefault="002D55A6" w:rsidP="00527344">
            <w:pPr>
              <w:pStyle w:val="ListParagraph"/>
              <w:autoSpaceDE w:val="0"/>
              <w:autoSpaceDN w:val="0"/>
              <w:adjustRightInd w:val="0"/>
              <w:ind w:left="318" w:right="-10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เพื่อการสื่อสาร เน้นกระบวนการเรียนรู้เพื่อเติมเต็มให้แก่ผู้เรียนและได้พัฒนาศักยภาพ และควรกำหนดหลักเกณฑ์และกรอบการพิจารณาปิดหลักสูตรที่ไม่คุ้มทุน และไม่ตอบโจทย์ต่อสังคม เพื่อทบทวนการปิดหลักสูตรและเปิดหลักสูตรใหม่ที่เหมาะสมทดแทน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9B06D8">
            <w:pPr>
              <w:ind w:left="317" w:hanging="317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 xml:space="preserve">1.1 มีการทบทวนหลักสูตรเพื่อให้สอดคล้องกับความต้องการของผู้ใช้บัณฑิต เพิ่มสมรรถนะในการแข่งขัน ผ่านการพัฒนาหลักสูตรด้วยรูปแบบ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Backward Design </w:t>
            </w: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>ตามเกณฑ์ของ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 AUN-QA</w:t>
            </w:r>
          </w:p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>1.2 มีระบบการปิดหลักสูตร</w:t>
            </w:r>
          </w:p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 xml:space="preserve">     - เช่น บัณฑิต รับนิสิตไม่ถึงครึงหนึ่งของแผนรับ 3 ปีติดต่อกัน ให้งดรับนิสิตเพื่อปรับปรุงหลักสูตร</w:t>
            </w:r>
          </w:p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 xml:space="preserve">     - หลักสูตรที่ไม่ตรง ไม่ทันสมัย ให้มีการปิดหลักสูตร หรือเปลี่ยนชื่อให้ทันสมัยมากขึ้น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74C62" w:rsidRDefault="002D55A6" w:rsidP="00527344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8432A7" w:rsidRDefault="002D55A6" w:rsidP="002D55A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TH Sarabun New" w:hAnsi="TH Sarabun New" w:cs="TH Sarabun New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มหาวิทยาลัยควรมีการส่งเสริมให้ส่วนงานมีการดำเนินการพัฒนาการเรียนการสอน</w:t>
            </w:r>
          </w:p>
          <w:p w:rsidR="002D55A6" w:rsidRPr="008432A7" w:rsidRDefault="002D55A6" w:rsidP="00527344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>ใ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นรูปแบบ </w:t>
            </w:r>
            <w:r w:rsidRPr="008432A7">
              <w:rPr>
                <w:rFonts w:ascii="TH SarabunPSK" w:hAnsi="TH SarabunPSK" w:cs="TH SarabunPSK"/>
                <w:sz w:val="29"/>
                <w:szCs w:val="29"/>
              </w:rPr>
              <w:t xml:space="preserve">active learning 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เพิ่มขึ้น </w:t>
            </w: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เน้นการผลิตบัณฑิตที่มีการบูรณาการ</w:t>
            </w:r>
          </w:p>
          <w:p w:rsidR="002D55A6" w:rsidRPr="008432A7" w:rsidRDefault="002D55A6" w:rsidP="00527344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อย่างหลากหลายเพื่อให้เกิดผลลัพธ์ที่ดี </w:t>
            </w:r>
            <w:r w:rsidRPr="008432A7">
              <w:rPr>
                <w:rFonts w:ascii="TH SarabunPSK" w:hAnsi="TH SarabunPSK" w:cs="TH SarabunPSK"/>
                <w:spacing w:val="4"/>
                <w:sz w:val="29"/>
                <w:szCs w:val="29"/>
                <w:cs/>
              </w:rPr>
              <w:t>(</w:t>
            </w:r>
            <w:r w:rsidRPr="008432A7">
              <w:rPr>
                <w:rFonts w:ascii="TH SarabunPSK" w:hAnsi="TH SarabunPSK" w:cs="TH SarabunPSK"/>
                <w:spacing w:val="4"/>
                <w:sz w:val="29"/>
                <w:szCs w:val="29"/>
              </w:rPr>
              <w:t>All in one</w:t>
            </w:r>
            <w:r w:rsidRPr="008432A7">
              <w:rPr>
                <w:rFonts w:ascii="TH SarabunPSK" w:hAnsi="TH SarabunPSK" w:cs="TH SarabunPSK"/>
                <w:spacing w:val="4"/>
                <w:sz w:val="29"/>
                <w:szCs w:val="29"/>
                <w:cs/>
              </w:rPr>
              <w:t xml:space="preserve">) </w:t>
            </w:r>
            <w:r w:rsidRPr="008432A7">
              <w:rPr>
                <w:rFonts w:ascii="TH SarabunPSK" w:hAnsi="TH SarabunPSK" w:cs="TH SarabunPSK" w:hint="cs"/>
                <w:spacing w:val="4"/>
                <w:sz w:val="29"/>
                <w:szCs w:val="29"/>
                <w:cs/>
              </w:rPr>
              <w:t xml:space="preserve"> </w:t>
            </w:r>
            <w:r w:rsidRPr="008432A7">
              <w:rPr>
                <w:rFonts w:ascii="TH SarabunPSK" w:hAnsi="TH SarabunPSK" w:cs="TH SarabunPSK"/>
                <w:spacing w:val="4"/>
                <w:sz w:val="29"/>
                <w:szCs w:val="29"/>
                <w:cs/>
              </w:rPr>
              <w:t xml:space="preserve">และมี </w:t>
            </w:r>
            <w:r w:rsidRPr="008432A7">
              <w:rPr>
                <w:rFonts w:ascii="TH SarabunPSK" w:hAnsi="TH SarabunPSK" w:cs="TH SarabunPSK"/>
                <w:spacing w:val="4"/>
                <w:sz w:val="29"/>
                <w:szCs w:val="29"/>
              </w:rPr>
              <w:t xml:space="preserve">Multi skills </w:t>
            </w:r>
            <w:r w:rsidRPr="008432A7">
              <w:rPr>
                <w:rFonts w:ascii="TH SarabunPSK" w:hAnsi="TH SarabunPSK" w:cs="TH SarabunPSK"/>
                <w:spacing w:val="4"/>
                <w:sz w:val="29"/>
                <w:szCs w:val="29"/>
                <w:cs/>
              </w:rPr>
              <w:t xml:space="preserve">สามารถพัฒนาศักยภาพเฉพาะของตนได้อย่างแท้จริง เพื่อเป็นบัณฑิตที่มีศักยภาพสูงกว่าสถาบันอื่นตามอัตลักษณ์ของ มศว </w:t>
            </w:r>
            <w:r w:rsidRPr="008432A7">
              <w:rPr>
                <w:rFonts w:ascii="TH SarabunPSK" w:hAnsi="TH SarabunPSK" w:cs="TH SarabunPSK" w:hint="cs"/>
                <w:spacing w:val="4"/>
                <w:sz w:val="29"/>
                <w:szCs w:val="29"/>
                <w:cs/>
              </w:rPr>
              <w:t xml:space="preserve"> เช่น </w:t>
            </w:r>
          </w:p>
          <w:p w:rsidR="002D55A6" w:rsidRPr="008432A7" w:rsidRDefault="002D55A6" w:rsidP="002D55A6">
            <w:pPr>
              <w:pStyle w:val="ListParagraph"/>
              <w:numPr>
                <w:ilvl w:val="0"/>
                <w:numId w:val="19"/>
              </w:numPr>
              <w:ind w:left="601" w:hanging="283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พัฒนาหลักสูตร</w:t>
            </w: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ควรบูรณาการศาสตร์ข้ามคณะ ข้ามหลักสูตร เพื่อให้เกิดหลักสูตรใหม่ ที่สนองความต้องการของสังคมโลก</w:t>
            </w: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และควร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ต่อยอดการบูรณาการศาสตร์ในหลายรูปแบบ ทั้งวิชาสามัญและวิชาชีพ สนับสนุนความร่วมมือกับสถาบันการศึกษาทางอาชีพ เพื่อให้เกิดหลักสูตรใหม่ </w:t>
            </w: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>เพื่อ</w:t>
            </w: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พัฒนาทักษะของนิสิตให้หลากหลาย</w:t>
            </w: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</w:p>
          <w:p w:rsidR="002D55A6" w:rsidRDefault="002D55A6" w:rsidP="002D55A6">
            <w:pPr>
              <w:pStyle w:val="ListParagraph"/>
              <w:numPr>
                <w:ilvl w:val="0"/>
                <w:numId w:val="19"/>
              </w:numPr>
              <w:ind w:left="601" w:hanging="283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หลักสูตรเพื่อการผลิตบัณฑิตเป็นผู้ประกอบการ  ต้องมีเนื้อหาหลักสูตรที่ฝึกทักษะและคุณสมบัติการเป็นผู้ประกอบการอย่างแท้จริง มีการคิดต้นทุน กำไร ให้นิสิตได้ฝึกคิด ฝึกทำ</w:t>
            </w:r>
          </w:p>
          <w:p w:rsidR="009B06D8" w:rsidRPr="00491C2C" w:rsidRDefault="009B06D8" w:rsidP="00491C2C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9B06D8" w:rsidRDefault="002D55A6" w:rsidP="002D55A6">
            <w:pPr>
              <w:pStyle w:val="ListParagraph"/>
              <w:numPr>
                <w:ilvl w:val="0"/>
                <w:numId w:val="19"/>
              </w:numPr>
              <w:ind w:left="601" w:hanging="283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 xml:space="preserve">การจัดทำหลักสูตรร่วมกับต่างประเทศ หรือบูรณาการร่วมกับองค์กรภายนอก </w:t>
            </w:r>
          </w:p>
          <w:p w:rsidR="002D55A6" w:rsidRPr="008432A7" w:rsidRDefault="002D55A6" w:rsidP="009B06D8">
            <w:pPr>
              <w:pStyle w:val="ListParagraph"/>
              <w:ind w:left="601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ควรอิงกับภาคธุรกิจเป็นสำคัญโดยมุ่งเน้นให้เกิดความร่วมมือกับบริษัท</w:t>
            </w:r>
          </w:p>
          <w:p w:rsidR="002D55A6" w:rsidRPr="008432A7" w:rsidRDefault="002D55A6" w:rsidP="00527344">
            <w:pPr>
              <w:pStyle w:val="ListParagraph"/>
              <w:ind w:left="601"/>
              <w:rPr>
                <w:rFonts w:ascii="TH SarabunPSK" w:hAnsi="TH SarabunPSK" w:cs="TH SarabunPSK"/>
                <w:sz w:val="29"/>
                <w:szCs w:val="29"/>
              </w:rPr>
            </w:pPr>
            <w:r w:rsidRPr="008432A7">
              <w:rPr>
                <w:rFonts w:ascii="TH SarabunPSK" w:hAnsi="TH SarabunPSK" w:cs="TH SarabunPSK"/>
                <w:sz w:val="29"/>
                <w:szCs w:val="29"/>
                <w:cs/>
              </w:rPr>
              <w:t>ในต่างประเทศ หรือมีการร่วมทุนกับต่างประเทศเพื่อสร้างธุรกิจใหม่ๆ เพิ่มมากขึ้น</w:t>
            </w:r>
          </w:p>
          <w:p w:rsidR="002D55A6" w:rsidRPr="008432A7" w:rsidRDefault="002D55A6" w:rsidP="00527344">
            <w:pPr>
              <w:autoSpaceDE w:val="0"/>
              <w:autoSpaceDN w:val="0"/>
              <w:adjustRightInd w:val="0"/>
              <w:spacing w:after="80"/>
              <w:ind w:left="318" w:hanging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432A7"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เป็นต้น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9B06D8">
            <w:pPr>
              <w:ind w:left="175" w:hanging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lastRenderedPageBreak/>
              <w:t xml:space="preserve">- มหาวิทยาลัยมีการอบรมอาจารย์ให้รู้จัก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>active learning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 เป็นประจำทุกปีอย่างต่อเนื่องทั้งอาจารย์ใหม่และอาจารย์ที่มีประสบการณ์แล้ว และมีการกำหนดในยุทธศาสตร์ว่าทุกหลักสูตรต้องมีการจัดการเรียนการสอนแบบ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>active learning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 อย่างน้อย 50% ของรายวิชาที่เปิดสอนทั้งหมดในปีการศึกษานั้นๆ </w:t>
            </w:r>
          </w:p>
          <w:p w:rsidR="002D55A6" w:rsidRPr="009B06D8" w:rsidRDefault="002D55A6" w:rsidP="009B06D8">
            <w:pPr>
              <w:ind w:left="175" w:hanging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- มีการสนับสนุนอาจารย์ที่สอนดีเด่น โดยจัดประกวด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Dare to change </w:t>
            </w:r>
          </w:p>
          <w:p w:rsidR="009B06D8" w:rsidRDefault="002D55A6" w:rsidP="009B06D8">
            <w:pPr>
              <w:ind w:left="175" w:hanging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-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มีการจัดการเรียนการสอนแบบ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>active learning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 </w:t>
            </w:r>
          </w:p>
          <w:p w:rsidR="009B06D8" w:rsidRDefault="002D55A6" w:rsidP="009B06D8">
            <w:pPr>
              <w:ind w:left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ในรายวิชาศึกษาทั่วไปทุกวิชา และเน้นให้มี</w:t>
            </w:r>
          </w:p>
          <w:p w:rsidR="002D55A6" w:rsidRPr="009B06D8" w:rsidRDefault="002D55A6" w:rsidP="009B06D8">
            <w:pPr>
              <w:ind w:left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การบูรณาการศาสตร์ </w:t>
            </w:r>
          </w:p>
          <w:p w:rsidR="0046670C" w:rsidRDefault="0046670C" w:rsidP="009B06D8">
            <w:pPr>
              <w:ind w:left="175" w:hanging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</w:p>
          <w:p w:rsidR="0046670C" w:rsidRDefault="0046670C" w:rsidP="00491C2C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</w:p>
          <w:p w:rsidR="009B06D8" w:rsidRDefault="002D55A6" w:rsidP="009B06D8">
            <w:pPr>
              <w:ind w:left="175" w:hanging="175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lastRenderedPageBreak/>
              <w:t>- สนับสนุนให้ทุกคณะมีการทำบูรณาการและ</w:t>
            </w:r>
          </w:p>
          <w:p w:rsidR="002D55A6" w:rsidRPr="009B06D8" w:rsidRDefault="002D55A6" w:rsidP="009B06D8">
            <w:pPr>
              <w:ind w:left="175" w:right="-108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มีแนวนโยบายให้ทุกหลักสูตร อย่างน้อยมี 1 รายวิชาก่อนจบ ที่เป็นบูรณาการศาสตร์ในรูปแบบของรายวิชาสัมมนา </w:t>
            </w:r>
          </w:p>
          <w:p w:rsidR="002D55A6" w:rsidRPr="009B06D8" w:rsidRDefault="002D55A6" w:rsidP="009B06D8">
            <w:pPr>
              <w:ind w:hanging="108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 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ตัวอย่างหลักสูตรที่บูรณาการศาสตร์ ได้แก่ </w:t>
            </w:r>
          </w:p>
          <w:p w:rsidR="002D55A6" w:rsidRPr="009B06D8" w:rsidRDefault="002D55A6" w:rsidP="002D55A6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หลักสูตรปร.ด.จุลชีววิทยาประยุกต์ ที่เป็นความร่วมมือระหว่างคณะวิทยาศาสตร์และคณะแพทยศาสตร์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หลักสูตร บธบ. การจัดการธุรกิจดิจิทัล ความร่วมมือระหว่างวิทยาลัยนวัตกรรมสื่อสารสังคมและคณะบริหารธุรกิจเพื่อสังคม</w:t>
            </w:r>
          </w:p>
          <w:p w:rsidR="009B06D8" w:rsidRDefault="002D55A6" w:rsidP="002D55A6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หลักสูตรที่ได้ร่วมมือกับสถาบันการศึกษา</w:t>
            </w:r>
          </w:p>
          <w:p w:rsidR="002D55A6" w:rsidRPr="009B06D8" w:rsidRDefault="002D55A6" w:rsidP="009B06D8">
            <w:pPr>
              <w:pStyle w:val="ListParagraph"/>
              <w:ind w:left="600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ทางอาชีพ ได้แก่ หลักสูตรอัญมณีและเครื่องประดับ </w:t>
            </w:r>
          </w:p>
          <w:p w:rsidR="009B06D8" w:rsidRDefault="002D55A6" w:rsidP="009B06D8">
            <w:pPr>
              <w:pStyle w:val="ListParagraph"/>
              <w:numPr>
                <w:ilvl w:val="0"/>
                <w:numId w:val="21"/>
              </w:numPr>
              <w:ind w:right="-108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หลักสูตรที่มีการพัฒนาทักษะในการเป็นผู้ประกอบการ ได้แก่ หลักสูตรนวัตกรรมอาหารและธุรกิจ  นอกจากนั้นยังมีความร่วมมือของมหาวิทยาลัยกับสำนักงานพัฒนาธุรกรรมทางอิเล็กทรอนิกส์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 ( Electronic Transactions Development Agency ETDA)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พัฒนารายวิชาใหม่เพื่อส่งเสริมความเป็นผู้ประกอบการทางอิเล็กทรอนิกส์ของนิสิตจำนวน 3 รายวิชา คือ  มศว342 ธุรกิจพาณิชย์อิเล็กทรอนิกส์ มศว 343 ธุรกิจพาณิชย์อิเล็กทรอนิกส์ในประเทศ และ มศว 344 </w:t>
            </w:r>
          </w:p>
          <w:p w:rsidR="002D55A6" w:rsidRPr="009B06D8" w:rsidRDefault="002D55A6" w:rsidP="009B06D8">
            <w:pPr>
              <w:pStyle w:val="ListParagraph"/>
              <w:ind w:left="600" w:right="-108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ธุรกิจพาณิชย์อิเล็กทรอนิกส์ระหว่างประเทศ</w:t>
            </w:r>
          </w:p>
          <w:p w:rsidR="002D55A6" w:rsidRPr="009B06D8" w:rsidRDefault="002D55A6" w:rsidP="009B06D8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    (</w:t>
            </w: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>4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)  มีหลักสูตรที่ได้ร่วมมือกับธุรกิจในต่างประเทศ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A12137" w:rsidRDefault="002D55A6" w:rsidP="009B06D8">
            <w:pPr>
              <w:pStyle w:val="ListParagraph"/>
              <w:ind w:left="228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ind w:left="459" w:hanging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มหาวิทยาลัยควรจัดระบบการติดตามผลลัพธ์การเปลี่ยนแปลงในทางที่ดีที่เกิดขึ้น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กับนิสิต ทั้งในเรื่องผลการเรียน การใช้ชีวิตในมหาวิทยาลัย และการปรับเปลี่ยนพฤติกรรมที่พึงประสงค์ เพื่อใช้เป็นข้อมูล 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ในการออกแบบกิจกรรมที่จะดำเนินการเพิ่มเติมในปีต่อไป เพื่อสร้างเสริมให้นิสิตมีสมรรถนะที่ดีมากยิ่งขึ้น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ind w:left="34"/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 w:hint="cs"/>
                <w:color w:val="538135" w:themeColor="accent6" w:themeShade="BF"/>
                <w:sz w:val="29"/>
                <w:szCs w:val="29"/>
                <w:cs/>
              </w:rPr>
              <w:t>รับมาเพื่อดำเนินการต่อไป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C1427" w:rsidRDefault="002D55A6" w:rsidP="009B06D8">
            <w:pPr>
              <w:pStyle w:val="ListParagraph"/>
              <w:ind w:left="228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ควรมีการติดตามและประเมินผลบัณฑิตอย่างจริงจัง 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กำหนดให้ส่วนงาน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มีการติดตามการได้งานทำหรือเรียนต่อของบัณฑิตที่สำเร็จการศึกษาภายใน 1 ปี ของนิสิตในแต่ละหลักสูตรเพื่อให้เป็นไปตามความต้องการของผู้ใช้บัณฑิต/ผู้ประกอบการ และนำมาปรับปรุงการจัดการเรียนการสอนเพื่อให้บัณฑิต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spacing w:after="80"/>
              <w:ind w:left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มีสมรรถนะตามที่ผู้ประกอบการคาดหวัง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มหาวิทยาลัยมีแผนที่จะให้คณะดำเนินการในส่วนนี้อย่างจริงจัง และให้เป็น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>KPI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 ของคณบดี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A12137" w:rsidRDefault="002D55A6" w:rsidP="009B06D8">
            <w:pPr>
              <w:pStyle w:val="ListParagraph"/>
              <w:ind w:left="2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ind w:left="459" w:hanging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การจัดการเรียนการสอนแบบ </w:t>
            </w:r>
            <w:r w:rsidRPr="002D55A6">
              <w:rPr>
                <w:rFonts w:ascii="TH SarabunPSK" w:hAnsi="TH SarabunPSK" w:cs="TH SarabunPSK"/>
                <w:sz w:val="29"/>
                <w:szCs w:val="29"/>
              </w:rPr>
              <w:t xml:space="preserve">Module 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นิสิตต้องรู้จักจัดสรรเวลาในการเรียนรู้  และส่วนส่งเสริมและบริการการศึกษา ต้องจัดระบบงานทะเบียนให้ถูกต้องเหมาะสม เพื่อไม่ให้เกิดผลกระทบกับนิสิต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ทำความเข้าใจกับผู้ที่ต้องการจัดรูปแบบการเรียนการสอนแบบ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module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เนื่องจากส่วนส่งเสริมและบริการการศึกษาได้จัดระบบรองรับไว้แล้ว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C1427" w:rsidRDefault="002D55A6" w:rsidP="00527344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ind w:left="459" w:hanging="459"/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 w:hint="cs"/>
                <w:spacing w:val="-4"/>
                <w:sz w:val="29"/>
                <w:szCs w:val="29"/>
                <w:cs/>
              </w:rPr>
              <w:t>ควร</w:t>
            </w:r>
            <w:r w:rsidRPr="002D55A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ยกระดับคุณภาพของการจัดการเรื่องสหกิจศึกษาให้อยู่ระดับสูงขึ้นกว่าระดับภาคหรือระดับประเทศ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รับมาเพื่อดำเนินการ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451FC9" w:rsidRDefault="002D55A6" w:rsidP="00527344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ปรับปรุงคุณภาพการศึกษาให้สูงกว่ามาตรฐานของ สกอ. โดยปรับวิธีการ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spacing w:after="80"/>
              <w:ind w:left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ในการจัดการเรียนการสอนแบบใหม่ เพื่อให้การศึกษาของ มศว เป็นมาตรฐานคุณภาพการศึกษาในระดับโลก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>AUN-QA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74C62" w:rsidRDefault="002D55A6" w:rsidP="00527344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มหาวิทยาลัยได้กำหนดเป้าหมายเป็นมหาวิทยาลัยรับใช้สังคม จึงควรปลูกฝัง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ให้บุคลากรและนิสิตเกิดความตระหนักและมีส่วนร่วมผ่านการบูรณาการ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spacing w:after="80"/>
              <w:ind w:left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การจัดการเรียนการสอนหรือการจัดโครงการ/</w:t>
            </w:r>
            <w:r w:rsidRPr="002D55A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กิจกรรมต่าง ๆ ที่สอดแทรกเกี่ยวกับการรับผิดชอบต่อสังคม (</w:t>
            </w:r>
            <w:r w:rsidRPr="002D55A6">
              <w:rPr>
                <w:rFonts w:ascii="TH SarabunPSK" w:hAnsi="TH SarabunPSK" w:cs="TH SarabunPSK"/>
                <w:spacing w:val="-4"/>
                <w:sz w:val="29"/>
                <w:szCs w:val="29"/>
              </w:rPr>
              <w:t>University Social Responsibility; USR</w:t>
            </w:r>
            <w:r w:rsidRPr="002D55A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)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เพื่อส่งเสริมให้เกิดความรับผิดชอบต่อสังคมมากยิ่งขึ้น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กำหนดไว้แล้วในยุทธศาสตร์ ให้ทุกหลักสูตรมีกิจกรรม/โครงการรับใช้สังคม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74C62" w:rsidRDefault="002D55A6" w:rsidP="00527344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55A6" w:rsidRPr="00CC7CB5" w:rsidTr="0046670C">
        <w:trPr>
          <w:trHeight w:val="10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>พัฒนา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บุคลากรสายวิชาการ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>ให้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มีทักษะทางด้านวิชาการและทักษะทางด้านวิชาชีพควบคู่กัน 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>โดย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นำระบบ </w:t>
            </w:r>
            <w:r w:rsidRPr="002D55A6">
              <w:rPr>
                <w:rFonts w:ascii="TH SarabunPSK" w:hAnsi="TH SarabunPSK" w:cs="TH SarabunPSK"/>
                <w:sz w:val="29"/>
                <w:szCs w:val="29"/>
              </w:rPr>
              <w:t>SWU PSF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ที่มหาวิทยาลัยพัฒนาขึ้นมาใช้ในการพัฒนาคุณภาพการสอนของอาจารย์ให้รวดเร็วขึ้น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และเพื่อ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พัฒนาศักยภาพของผู้สอน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ให้มีสมรรถนะสูงขึ้นในแต่ละปี เพื่อรองรับหลักสูตรและผู้เรียนในอนาคต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และ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ควรสนับสนุนและส่งเสริมการขอตำแหน่งทางวิชาการให้เพิ่มมากขึ้น เพื่อรองรับ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spacing w:after="80"/>
              <w:ind w:left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การสอนให้มีคุณภาพที่เหมาะสม  และสามารถเป็นอาจารย์ที่ปรึกษาวิทยานิพนธ์ได้ โดยไม่ส่งผลกระทบต่อการสำเร็จการศึกษาของนิสิต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lastRenderedPageBreak/>
              <w:t xml:space="preserve">การอบรมคณาจารย์ให้มีสมรรถนะการสอนตามกรอบมาตรฐานระดับสากลของสหราชอาณาจักร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UKPSF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ซึ่งปัจจุบันมีคณาจารย์ได้รับการรับรองในระดับ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senior fellow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แล้วจำนวน 20 คน และได้วางแผน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lastRenderedPageBreak/>
              <w:t xml:space="preserve">ต่อเนื่อง ให้ มศว เป็นสถาบันที่มีครูคุณภาพเป็นเลิศ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SWU-BEST (B – building, E-excellent, S – academic staff, T – in teaching)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687362" w:rsidRDefault="002D55A6" w:rsidP="002D55A6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 xml:space="preserve">ควรนำเทคนิคการบริหารจัดการความรู้มาขับเคลื่อนอย่างเป็นขั้นตอน ทั่วถึง </w:t>
            </w:r>
          </w:p>
          <w:p w:rsidR="002D55A6" w:rsidRPr="002D55A6" w:rsidRDefault="002D55A6" w:rsidP="00527344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และจริงจัง เพื่อค้นหาแนวปฏิบัติที่ดี โดยพิจารณาความต้องการของส่วนงาน </w:t>
            </w:r>
          </w:p>
          <w:p w:rsidR="002D55A6" w:rsidRPr="002D55A6" w:rsidRDefault="002D55A6" w:rsidP="00527344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แล้วนำมาวางแผนกลยุทธ์การจัด </w:t>
            </w:r>
            <w:r w:rsidRPr="002D55A6">
              <w:rPr>
                <w:rFonts w:ascii="TH SarabunPSK" w:hAnsi="TH SarabunPSK" w:cs="TH SarabunPSK"/>
                <w:sz w:val="29"/>
                <w:szCs w:val="29"/>
              </w:rPr>
              <w:t xml:space="preserve">KM 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เพื่อขยายผลให้กว้างขวางขึ้น ซึ่งบุคลากรภายในส่วนงานต้องร่วมกันออกแบบหรือวางแนวปฏิบัติ โดยมีการติดตามและประเมินผลด้วย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ฝ่ายวิชาการมีการดำเนินการด้านการจัดการความรู้กับกลุ่มรองคณบดีฝ่ายวิชาการ และมีการเผยแพร่บนเว็บไซต์ฝ่ายวิชาการ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74C62" w:rsidRDefault="002D55A6" w:rsidP="00527344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right="-46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ผู้บริหารระดับสูงของมหาวิทยาลัย ควรส่งเสริมสนับสนุนให้ผู้นำส่วนงานรุ่นใหม่ สามารถนำความรู้ </w:t>
            </w:r>
            <w:r w:rsidRPr="002D55A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ความสามารถและความกระตือรือร้นมาใช้ให้เป็นประโยชน์ต่อ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spacing w:after="80"/>
              <w:ind w:left="459" w:right="-46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ส่วนงานและมหาวิทยาลัยได้อย่างทันการณ์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มากขึ้น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งานฝ่ายวิชาการมีการจัดอบรมให้กับกลุ่มคณบดีให้มีความรู้เรื่องเกณฑ์สมรรถนะการจัดการเรียนการสอนตามกรอบของสหราชอาณาจักร ในระดับ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  <w:t xml:space="preserve"> Senior Fellow </w:t>
            </w: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>เพื่อผลักดันการจัดการเรียนการสอนในหน่วยงานของตนเองให้มีประสิทธิภาพเทียบเท่าระดับสากลต่อไป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8652B" w:rsidRDefault="002D55A6" w:rsidP="00527344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2D55A6" w:rsidRPr="00CC7CB5" w:rsidTr="00527344">
        <w:trPr>
          <w:trHeight w:val="2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2D55A6" w:rsidRDefault="002D55A6" w:rsidP="002D55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มหาวิทยาลัยควรให้ความสำคัญในการติดตามและยกระดับประสิทธิภาพ</w:t>
            </w:r>
          </w:p>
          <w:p w:rsidR="002D55A6" w:rsidRPr="002D55A6" w:rsidRDefault="002D55A6" w:rsidP="00527344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H SarabunPSK" w:hAnsi="TH SarabunPSK" w:cs="TH SarabunPSK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>ในการดำเนินงานตามตัวชี้วัดการประเมินแบบสมดุล 4 มิติ (</w:t>
            </w:r>
            <w:r w:rsidRPr="002D55A6">
              <w:rPr>
                <w:rFonts w:ascii="TH SarabunPSK" w:hAnsi="TH SarabunPSK" w:cs="TH SarabunPSK"/>
                <w:sz w:val="29"/>
                <w:szCs w:val="29"/>
              </w:rPr>
              <w:t>BSC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) ของมหาวิทยาลัย ที่ยังอยู่ในระดับต่ำมาก </w:t>
            </w:r>
            <w:r w:rsidRPr="002D55A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ได้แก่ </w:t>
            </w:r>
            <w:r w:rsidRPr="002D55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1877" w:hanging="1418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2D55A6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- 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ตัวชี้วัดที่ 2.12 </w:t>
            </w:r>
            <w:r w:rsidRPr="002D55A6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 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ร้อยละของจำนวนนวัตกรรมทางการศึกษา/นวัตกรรมตามพันธกิจ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1877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ที่เกี่ยวข้อง</w:t>
            </w:r>
            <w:r w:rsidRPr="002D55A6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 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ind w:left="1877" w:right="-329" w:hanging="1418"/>
              <w:rPr>
                <w:rFonts w:ascii="TH SarabunPSK" w:hAnsi="TH SarabunPSK" w:cs="TH SarabunPSK"/>
                <w:spacing w:val="-6"/>
                <w:sz w:val="29"/>
                <w:szCs w:val="29"/>
              </w:rPr>
            </w:pPr>
            <w:r w:rsidRPr="002D55A6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- 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ตัวชี้วัดที่ 2.17 </w:t>
            </w:r>
            <w:r w:rsidRPr="002D55A6">
              <w:rPr>
                <w:rFonts w:ascii="TH SarabunPSK" w:hAnsi="TH SarabunPSK" w:cs="TH SarabunPSK" w:hint="cs"/>
                <w:spacing w:val="-6"/>
                <w:sz w:val="29"/>
                <w:szCs w:val="29"/>
                <w:cs/>
              </w:rPr>
              <w:t xml:space="preserve">  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ร้อยละของการได้งานทำของนิสิตและเรียนต่อภายใน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1 </w:t>
            </w: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ปี </w:t>
            </w:r>
          </w:p>
          <w:p w:rsidR="002D55A6" w:rsidRPr="002D55A6" w:rsidRDefault="002D55A6" w:rsidP="00527344">
            <w:pPr>
              <w:autoSpaceDE w:val="0"/>
              <w:autoSpaceDN w:val="0"/>
              <w:adjustRightInd w:val="0"/>
              <w:spacing w:after="120"/>
              <w:ind w:left="1877" w:right="-329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 w:rsidRPr="002D55A6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สำหรับทุกส่วนงานที่มีหลักสูตร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A6" w:rsidRPr="009B06D8" w:rsidRDefault="002D55A6" w:rsidP="00527344">
            <w:pPr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</w:rPr>
            </w:pPr>
            <w:r w:rsidRPr="009B06D8">
              <w:rPr>
                <w:rFonts w:ascii="TH SarabunPSK" w:hAnsi="TH SarabunPSK" w:cs="TH SarabunPSK"/>
                <w:color w:val="538135" w:themeColor="accent6" w:themeShade="BF"/>
                <w:sz w:val="29"/>
                <w:szCs w:val="29"/>
                <w:cs/>
              </w:rPr>
              <w:t xml:space="preserve">ประเด็นเรื่องการได้งานทำ ได้วางแผนในการปรับปรุงระบบการเก็บข้อมูล เพื่อให้ได้ข้อมูลที่แท้จริงและถูกต้องมากขึ้น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A6" w:rsidRPr="00774C62" w:rsidRDefault="002D55A6" w:rsidP="00527344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1038" w:rsidRDefault="00A71038" w:rsidP="002D20ED">
      <w:pPr>
        <w:pStyle w:val="ListParagraph"/>
        <w:rPr>
          <w:rFonts w:ascii="TH Sarabun New" w:hAnsi="TH Sarabun New" w:cs="TH Sarabun New"/>
          <w:color w:val="FF0000"/>
          <w:spacing w:val="2"/>
        </w:rPr>
      </w:pPr>
    </w:p>
    <w:p w:rsidR="008E5371" w:rsidRPr="00AA51C3" w:rsidRDefault="008E5371" w:rsidP="008E5371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8E5371" w:rsidRDefault="008E5371">
      <w:pPr>
        <w:rPr>
          <w:rFonts w:ascii="TH Sarabun New" w:hAnsi="TH Sarabun New" w:cs="TH Sarabun New"/>
          <w:color w:val="FF0000"/>
          <w:spacing w:val="2"/>
        </w:rPr>
      </w:pPr>
      <w:r>
        <w:rPr>
          <w:rFonts w:ascii="TH Sarabun New" w:hAnsi="TH Sarabun New" w:cs="TH Sarabun New"/>
          <w:color w:val="FF0000"/>
          <w:spacing w:val="2"/>
          <w:cs/>
        </w:rPr>
        <w:br w:type="page"/>
      </w:r>
    </w:p>
    <w:p w:rsidR="00491C2C" w:rsidRPr="007B7D41" w:rsidRDefault="00491C2C" w:rsidP="00491C2C">
      <w:pPr>
        <w:shd w:val="clear" w:color="auto" w:fill="E2EFD9" w:themeFill="accent6" w:themeFillTint="33"/>
        <w:ind w:left="567"/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491C2C" w:rsidRDefault="00491C2C" w:rsidP="00491C2C">
      <w:pPr>
        <w:ind w:left="56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E537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รายงานผลการดำเนินงานตามโปรแกรมการติดตามและประเมินผลการปฏิบัติงาน ประจำปีงบประมาณ พ.ศ. 2563 รอบ 6 เดือน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                                              </w:t>
      </w:r>
      <w:r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  <w:r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 xml:space="preserve"> 2</w:t>
      </w:r>
    </w:p>
    <w:p w:rsidR="00491C2C" w:rsidRPr="008E5371" w:rsidRDefault="00491C2C" w:rsidP="00491C2C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3685"/>
        <w:gridCol w:w="3402"/>
      </w:tblGrid>
      <w:tr w:rsidR="00491C2C" w:rsidRPr="00CC7CB5" w:rsidTr="00527344">
        <w:trPr>
          <w:trHeight w:val="1017"/>
          <w:tblHeader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2C" w:rsidRPr="00CC7CB5" w:rsidRDefault="00491C2C" w:rsidP="000071A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โปรแกรมการติดตามและประเมินผล</w:t>
            </w:r>
          </w:p>
          <w:p w:rsidR="00491C2C" w:rsidRDefault="00491C2C" w:rsidP="00491C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การปฏิบัติงานประจำปีงบประมาณ </w:t>
            </w:r>
          </w:p>
          <w:p w:rsidR="00491C2C" w:rsidRPr="00CC7CB5" w:rsidRDefault="00491C2C" w:rsidP="00491C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พ.ศ. 2563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รอบ 6 เดือน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1C2C" w:rsidRPr="00CC7CB5" w:rsidRDefault="00491C2C" w:rsidP="00491C2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แนวทางการติดตามและประเมินผลการปฏิบัติงาน</w:t>
            </w:r>
          </w:p>
          <w:p w:rsidR="00491C2C" w:rsidRPr="00CC7CB5" w:rsidRDefault="00491C2C" w:rsidP="00491C2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ประจำปีงบประมาณ พ.ศ. 2563 </w:t>
            </w:r>
          </w:p>
          <w:p w:rsidR="00491C2C" w:rsidRPr="00CC7CB5" w:rsidRDefault="00491C2C" w:rsidP="00491C2C">
            <w:pPr>
              <w:ind w:right="-71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C7CB5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>รอบ 6 เดือน (ต.ค. 62 - มี.ค. 63)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91C2C" w:rsidRPr="002D55A6" w:rsidRDefault="00491C2C" w:rsidP="00491C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5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D55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491C2C" w:rsidRPr="00B94650" w:rsidRDefault="00491C2C" w:rsidP="00491C2C">
            <w:pPr>
              <w:jc w:val="center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(ระหว่างเดือน ต.ค. 2562 </w:t>
            </w:r>
            <w:r w:rsidRPr="002D55A6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มี.ค. 2563</w:t>
            </w:r>
            <w:r w:rsidRPr="0084334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91C2C" w:rsidRPr="000071A7" w:rsidRDefault="00491C2C" w:rsidP="000071A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C130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8E5371" w:rsidRPr="00CC7CB5" w:rsidTr="00527344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3" w:rsidRDefault="008E5371" w:rsidP="00AA51C3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การประเมินกลยุทธ์รองรับการเปลี่ยนแปลง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จากยุทธศาสตร์และนโยบายการจัดการศึกษา</w:t>
            </w: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แนวใหม่ของกระทรวง อว. และหน่วยงานอื่นๆ ที่มีผลกระทบต่อการบริหารจัดการของ มศว </w:t>
            </w:r>
          </w:p>
          <w:p w:rsidR="008E5371" w:rsidRPr="00D85F40" w:rsidRDefault="008E5371" w:rsidP="00AA51C3">
            <w:pPr>
              <w:ind w:right="-108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51668">
              <w:rPr>
                <w:rFonts w:ascii="TH SarabunPSK" w:hAnsi="TH SarabunPSK" w:cs="TH SarabunPSK"/>
                <w:sz w:val="30"/>
                <w:szCs w:val="30"/>
                <w:cs/>
              </w:rPr>
              <w:t>ทั้งในด้านภารกิจการสอน การวิจัย การบริการวิชาการ และ</w:t>
            </w:r>
            <w:r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การบริหารจัดการด้านอื่นๆ ของมหาวิทยาลัย </w:t>
            </w:r>
          </w:p>
          <w:p w:rsidR="008E5371" w:rsidRPr="00CC7CB5" w:rsidRDefault="008E5371" w:rsidP="00527344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71" w:rsidRPr="00CC7CB5" w:rsidRDefault="00AA51C3" w:rsidP="00AA51C3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E5371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ศึกษาวิเคราะห์ผลกระทบที่เกิดจากยุทธศาสตร์และนโยบายการจัดการศึกษาแนวใหม่ของกระทรวง อว. และหน่วยงานอื่นๆ ที่มีต่อการจัดการศึกษาและการบริหารจัดการของ มศว</w:t>
            </w:r>
            <w:r w:rsidR="008E5371" w:rsidRPr="00CC7C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E53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เช่น โครงสร้างหลักสูตร </w:t>
            </w:r>
            <w:r w:rsidR="008E5371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การเตรียมความพร้อมของอาจารย์ผู้สอน/ผู้เรียน เป็นต้น</w:t>
            </w:r>
          </w:p>
          <w:p w:rsidR="008E5371" w:rsidRDefault="00AA51C3" w:rsidP="00AA51C3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8E5371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ศึกษากลยุทธ์และแผนงานที่จะรองรับผลกระทบจากการเปลี่ยนแปลงตามข้อ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E5371"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ทั้งขั้นตอน</w:t>
            </w:r>
          </w:p>
          <w:p w:rsidR="008E5371" w:rsidRDefault="008E5371" w:rsidP="00AA51C3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การเตรียมความพร้อม และการดำเนินการ</w:t>
            </w:r>
          </w:p>
          <w:p w:rsidR="008E5371" w:rsidRPr="00CC7CB5" w:rsidRDefault="008E5371" w:rsidP="00AA51C3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เพื่อมุ่งสู่เป้าหมายในระยะสั้นและระยะยาว</w:t>
            </w:r>
          </w:p>
          <w:p w:rsidR="00AA51C3" w:rsidRDefault="008E5371" w:rsidP="00AA51C3">
            <w:pPr>
              <w:ind w:left="317" w:right="-71" w:hanging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ศึกษากลยุทธ์ในการขับเคลื่อนเพื่อให้เกิด 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>Internal</w:t>
            </w:r>
            <w:r w:rsidRPr="00CC7CB5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>Enga</w:t>
            </w:r>
            <w:r w:rsidRPr="00CC7CB5">
              <w:rPr>
                <w:rFonts w:ascii="TH SarabunPSK" w:hAnsi="TH SarabunPSK" w:cs="TH SarabunPSK"/>
                <w:spacing w:val="-20"/>
                <w:sz w:val="30"/>
                <w:szCs w:val="30"/>
              </w:rPr>
              <w:t>gement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การรวมบริการประสานภารกิจ </w:t>
            </w:r>
          </w:p>
          <w:p w:rsidR="00AA51C3" w:rsidRDefault="008E5371" w:rsidP="00AA51C3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โดยเน้น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การบูรณาการให้เกิดทีมงานระหว่าง</w:t>
            </w:r>
          </w:p>
          <w:p w:rsidR="00AA51C3" w:rsidRDefault="008E5371" w:rsidP="00AA51C3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ส่วนงาน/มหาวิทยาลัย</w:t>
            </w:r>
            <w:r w:rsidRPr="00CC7C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เพื่อรองรับทั้งเรื่อง</w:t>
            </w:r>
          </w:p>
          <w:p w:rsidR="008E5371" w:rsidRPr="00CC7CB5" w:rsidRDefault="008E5371" w:rsidP="00AA51C3">
            <w:pPr>
              <w:ind w:left="317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การออกแบบหลักสูตร งานวิจัย และงานบริการวิชาการ</w:t>
            </w:r>
          </w:p>
          <w:p w:rsidR="008E5371" w:rsidRPr="00CC7CB5" w:rsidRDefault="00AA51C3" w:rsidP="00AA51C3">
            <w:pPr>
              <w:ind w:left="317" w:right="-108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4.  </w:t>
            </w:r>
            <w:r w:rsidR="008E5371" w:rsidRPr="00687AA2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</w:t>
            </w:r>
            <w:r w:rsidR="008E5371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ดำเนินงาน ตามข้อ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</w:t>
            </w:r>
            <w:r w:rsidR="008E5371"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>,</w:t>
            </w:r>
            <w:r w:rsidR="008E5371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</w:t>
            </w:r>
            <w:r w:rsidR="008E5371"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="008E5371" w:rsidRPr="00D85F40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และ</w:t>
            </w:r>
            <w:r w:rsidR="008E5371" w:rsidRPr="00D85F40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</w:t>
            </w:r>
            <w:r w:rsidR="008E5371" w:rsidRPr="00D85F40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71" w:rsidRPr="00CC7CB5" w:rsidRDefault="008E5371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8E5371" w:rsidRPr="00CC7CB5" w:rsidRDefault="008E5371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8E5371" w:rsidRPr="00CC7CB5" w:rsidRDefault="008E5371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8E5371" w:rsidRPr="00AA51C3" w:rsidRDefault="008E5371" w:rsidP="00527344">
            <w:pPr>
              <w:pStyle w:val="ListParagraph"/>
              <w:ind w:left="25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1" w:rsidRPr="00CC7CB5" w:rsidRDefault="008E5371" w:rsidP="0052734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AA51C3" w:rsidRDefault="00AA51C3" w:rsidP="00AA51C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</w:p>
    <w:p w:rsidR="00AA51C3" w:rsidRPr="00AA51C3" w:rsidRDefault="00AA51C3" w:rsidP="00AA51C3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8E5371" w:rsidRPr="008E5371" w:rsidRDefault="008E5371" w:rsidP="008E537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</w:p>
    <w:sectPr w:rsidR="008E5371" w:rsidRPr="008E5371" w:rsidSect="00802483">
      <w:footerReference w:type="default" r:id="rId7"/>
      <w:pgSz w:w="16838" w:h="11906" w:orient="landscape"/>
      <w:pgMar w:top="993" w:right="851" w:bottom="993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AC" w:rsidRDefault="009A14AC" w:rsidP="00CC7CB5">
      <w:r>
        <w:separator/>
      </w:r>
    </w:p>
  </w:endnote>
  <w:endnote w:type="continuationSeparator" w:id="0">
    <w:p w:rsidR="009A14AC" w:rsidRDefault="009A14A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0071A7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5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AC" w:rsidRDefault="009A14AC" w:rsidP="00CC7CB5">
      <w:r>
        <w:separator/>
      </w:r>
    </w:p>
  </w:footnote>
  <w:footnote w:type="continuationSeparator" w:id="0">
    <w:p w:rsidR="009A14AC" w:rsidRDefault="009A14AC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602D4B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471"/>
    <w:multiLevelType w:val="hybridMultilevel"/>
    <w:tmpl w:val="22C06666"/>
    <w:lvl w:ilvl="0" w:tplc="4DCE41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9B042A"/>
    <w:multiLevelType w:val="hybridMultilevel"/>
    <w:tmpl w:val="E05E2EF0"/>
    <w:lvl w:ilvl="0" w:tplc="2A160D1A">
      <w:start w:val="1"/>
      <w:numFmt w:val="decimal"/>
      <w:lvlText w:val="(%1)"/>
      <w:lvlJc w:val="left"/>
      <w:pPr>
        <w:ind w:left="10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C12B3"/>
    <w:multiLevelType w:val="hybridMultilevel"/>
    <w:tmpl w:val="E344272E"/>
    <w:lvl w:ilvl="0" w:tplc="91E209D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5">
    <w:nsid w:val="5E6751BA"/>
    <w:multiLevelType w:val="hybridMultilevel"/>
    <w:tmpl w:val="D8FA9728"/>
    <w:lvl w:ilvl="0" w:tplc="3C9E02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D7100"/>
    <w:multiLevelType w:val="hybridMultilevel"/>
    <w:tmpl w:val="D6A4F5B6"/>
    <w:lvl w:ilvl="0" w:tplc="FE500D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10"/>
  </w:num>
  <w:num w:numId="13">
    <w:abstractNumId w:val="12"/>
  </w:num>
  <w:num w:numId="14">
    <w:abstractNumId w:val="14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4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071A7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448E0"/>
    <w:rsid w:val="001560F5"/>
    <w:rsid w:val="001636D5"/>
    <w:rsid w:val="00172D6A"/>
    <w:rsid w:val="0017602F"/>
    <w:rsid w:val="00182FC2"/>
    <w:rsid w:val="00184459"/>
    <w:rsid w:val="001C670F"/>
    <w:rsid w:val="001E1C4A"/>
    <w:rsid w:val="001F206C"/>
    <w:rsid w:val="001F7695"/>
    <w:rsid w:val="002D20ED"/>
    <w:rsid w:val="002D55A6"/>
    <w:rsid w:val="003628D1"/>
    <w:rsid w:val="0038195A"/>
    <w:rsid w:val="003A1639"/>
    <w:rsid w:val="003E0803"/>
    <w:rsid w:val="003E3901"/>
    <w:rsid w:val="00406822"/>
    <w:rsid w:val="00430AF5"/>
    <w:rsid w:val="00455440"/>
    <w:rsid w:val="0046670C"/>
    <w:rsid w:val="00491C2C"/>
    <w:rsid w:val="004B440A"/>
    <w:rsid w:val="004D469C"/>
    <w:rsid w:val="004E62DA"/>
    <w:rsid w:val="004F59DA"/>
    <w:rsid w:val="005350DE"/>
    <w:rsid w:val="00542705"/>
    <w:rsid w:val="00572A08"/>
    <w:rsid w:val="00583E43"/>
    <w:rsid w:val="00602307"/>
    <w:rsid w:val="00646152"/>
    <w:rsid w:val="00706D8B"/>
    <w:rsid w:val="007168DF"/>
    <w:rsid w:val="00774C62"/>
    <w:rsid w:val="0079505C"/>
    <w:rsid w:val="007A5A7A"/>
    <w:rsid w:val="007E7095"/>
    <w:rsid w:val="00802483"/>
    <w:rsid w:val="00811316"/>
    <w:rsid w:val="00836285"/>
    <w:rsid w:val="0088243E"/>
    <w:rsid w:val="008E5371"/>
    <w:rsid w:val="00921450"/>
    <w:rsid w:val="00983792"/>
    <w:rsid w:val="00983B33"/>
    <w:rsid w:val="009903CE"/>
    <w:rsid w:val="009A14AC"/>
    <w:rsid w:val="009B06D8"/>
    <w:rsid w:val="009C1DE3"/>
    <w:rsid w:val="00A221A6"/>
    <w:rsid w:val="00A54896"/>
    <w:rsid w:val="00A71038"/>
    <w:rsid w:val="00A71D40"/>
    <w:rsid w:val="00AA271E"/>
    <w:rsid w:val="00AA51C3"/>
    <w:rsid w:val="00AA7E19"/>
    <w:rsid w:val="00AB2634"/>
    <w:rsid w:val="00AC4DA1"/>
    <w:rsid w:val="00AF37B0"/>
    <w:rsid w:val="00B21DFA"/>
    <w:rsid w:val="00B24400"/>
    <w:rsid w:val="00B51668"/>
    <w:rsid w:val="00B65CF5"/>
    <w:rsid w:val="00B73409"/>
    <w:rsid w:val="00B74E4E"/>
    <w:rsid w:val="00B8468F"/>
    <w:rsid w:val="00B94D5C"/>
    <w:rsid w:val="00BB5F98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82ABE"/>
    <w:rsid w:val="00DC131A"/>
    <w:rsid w:val="00DC20B0"/>
    <w:rsid w:val="00DF03F3"/>
    <w:rsid w:val="00E63C87"/>
    <w:rsid w:val="00EC26F1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6</cp:revision>
  <cp:lastPrinted>2020-03-06T07:46:00Z</cp:lastPrinted>
  <dcterms:created xsi:type="dcterms:W3CDTF">2020-03-06T07:47:00Z</dcterms:created>
  <dcterms:modified xsi:type="dcterms:W3CDTF">2020-03-13T10:10:00Z</dcterms:modified>
</cp:coreProperties>
</file>