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B0" w:rsidRDefault="002D20ED" w:rsidP="00C528B0">
      <w:pPr>
        <w:ind w:left="318" w:firstLine="391"/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8359361</wp:posOffset>
                </wp:positionH>
                <wp:positionV relativeFrom="paragraph">
                  <wp:posOffset>-399967</wp:posOffset>
                </wp:positionV>
                <wp:extent cx="1796332" cy="34985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332" cy="3498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60573E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057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ฝ่าย</w:t>
                            </w:r>
                            <w:r w:rsidR="009A63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วินัยและกฎหมาย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6" style="position:absolute;left:0;text-align:left;margin-left:658.2pt;margin-top:-31.5pt;width:141.45pt;height:27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" fillcolor="#f2f2f2 [3052]" stroked="f" strokeweight="1pt">
                <v:textbox>
                  <w:txbxContent>
                    <w:p w:rsidR="002D20ED" w:rsidRPr="00B51668" w:rsidRDefault="0060573E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60573E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ฝ่าย</w:t>
                      </w:r>
                      <w:r w:rsidR="009A63DA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วินัยและกฎหมาย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35C6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4F35C6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</w:t>
      </w:r>
      <w:r w:rsidR="004F35C6">
        <w:rPr>
          <w:rFonts w:ascii="TH SarabunPSK" w:hAnsi="TH SarabunPSK" w:cs="TH SarabunPSK" w:hint="cs"/>
          <w:b/>
          <w:bCs/>
          <w:color w:val="002060"/>
          <w:cs/>
        </w:rPr>
        <w:t>ตามข้อเสนอแนะ</w:t>
      </w:r>
      <w:r w:rsidR="004F35C6">
        <w:rPr>
          <w:rFonts w:ascii="TH SarabunPSK" w:hAnsi="TH SarabunPSK" w:cs="TH SarabunPSK"/>
          <w:b/>
          <w:bCs/>
          <w:color w:val="002060"/>
          <w:cs/>
        </w:rPr>
        <w:t>จากรายงานการติดตามและประเมินผลการปฏิบัติงานของมหาวิทยาลัยศรีนครินทรวิโรฒ</w:t>
      </w:r>
      <w:r w:rsidR="004F35C6">
        <w:rPr>
          <w:rFonts w:ascii="TH SarabunPSK" w:hAnsi="TH SarabunPSK" w:cs="TH SarabunPSK" w:hint="cs"/>
          <w:b/>
          <w:bCs/>
          <w:color w:val="002060"/>
          <w:cs/>
        </w:rPr>
        <w:t xml:space="preserve">               </w:t>
      </w:r>
      <w:r w:rsidR="004F35C6" w:rsidRPr="00AF0FFD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เอกสารแนบ</w:t>
      </w:r>
    </w:p>
    <w:p w:rsidR="009B06D8" w:rsidRPr="00200E73" w:rsidRDefault="00C528B0" w:rsidP="00200E73">
      <w:pPr>
        <w:spacing w:after="120"/>
        <w:ind w:left="318" w:firstLine="391"/>
        <w:jc w:val="center"/>
        <w:rPr>
          <w:rFonts w:ascii="TH SarabunPSK" w:hAnsi="TH SarabunPSK" w:cs="TH SarabunPSK"/>
          <w:b/>
          <w:bCs/>
          <w:color w:val="002060"/>
          <w:cs/>
        </w:rPr>
      </w:pPr>
      <w:r w:rsidRPr="005D4948">
        <w:rPr>
          <w:rFonts w:ascii="TH SarabunPSK" w:hAnsi="TH SarabunPSK" w:cs="TH SarabunPSK"/>
          <w:b/>
          <w:bCs/>
          <w:color w:val="002060"/>
          <w:cs/>
        </w:rPr>
        <w:t xml:space="preserve">ประจำปีงบประมาณ พ.ศ. 2562 (รอบ 12 เดือน) </w:t>
      </w:r>
      <w:r>
        <w:rPr>
          <w:rFonts w:ascii="TH SarabunPSK" w:hAnsi="TH SarabunPSK" w:cs="TH SarabunPSK" w:hint="cs"/>
          <w:b/>
          <w:bCs/>
          <w:color w:val="002060"/>
          <w:cs/>
        </w:rPr>
        <w:t xml:space="preserve"> </w:t>
      </w: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4252"/>
        <w:gridCol w:w="3969"/>
      </w:tblGrid>
      <w:tr w:rsidR="004F35C6" w:rsidRPr="009A63DA" w:rsidTr="003405DA">
        <w:trPr>
          <w:trHeight w:val="516"/>
          <w:tblHeader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5C6" w:rsidRPr="009A63DA" w:rsidRDefault="004F35C6" w:rsidP="004F35C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</w:rPr>
            </w:pPr>
            <w:r w:rsidRPr="009A63DA">
              <w:rPr>
                <w:rFonts w:ascii="TH SarabunPSK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ข้อเสนอแนะจากรายงานการติดตามและประเมินผลฯ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F35C6" w:rsidRPr="00477265" w:rsidRDefault="004F35C6" w:rsidP="004F35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72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ตามข้อเสนอแนะที่ผ่านมา</w:t>
            </w:r>
          </w:p>
          <w:p w:rsidR="004F35C6" w:rsidRPr="00477265" w:rsidRDefault="004F35C6" w:rsidP="004F35C6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ณ เดือนมีนาคม 2563</w:t>
            </w: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F35C6" w:rsidRPr="00170879" w:rsidRDefault="004F35C6" w:rsidP="0017087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ตามข้อเสนอแนะเพิ่มเติม </w:t>
            </w:r>
            <w:bookmarkStart w:id="0" w:name="_GoBack"/>
            <w:bookmarkEnd w:id="0"/>
          </w:p>
        </w:tc>
      </w:tr>
      <w:tr w:rsidR="003405DA" w:rsidRPr="009A63DA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Pr="009A63DA" w:rsidRDefault="009A63DA" w:rsidP="009A63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318" w:hanging="318"/>
              <w:rPr>
                <w:rFonts w:ascii="TH SarabunPSK" w:hAnsi="TH SarabunPSK" w:cs="TH SarabunPSK"/>
                <w:spacing w:val="-4"/>
                <w:sz w:val="31"/>
                <w:szCs w:val="31"/>
                <w:cs/>
              </w:rPr>
            </w:pPr>
            <w:r w:rsidRPr="009A63DA">
              <w:rPr>
                <w:rFonts w:ascii="TH SarabunPSK" w:hAnsi="TH SarabunPSK" w:cs="TH SarabunPSK"/>
                <w:spacing w:val="-4"/>
                <w:sz w:val="31"/>
                <w:szCs w:val="31"/>
                <w:cs/>
              </w:rPr>
              <w:t>ควรพัฒนาระบบการจัดการข้อร้องเรียน ให้ครอบคลุมทุกระบบงาน  โดยมีการประชาสัมพันธ์ให้รับรู้ทั่วกันมากขึ้น เพื่อช่วยสร้างเสริมให้เกิดการเรียนรู้อย่างทั่วถึง และสามารถนำไปบริหารจัดการปัญหาที่เกิดขึ้นในแต่ละส่วนงาน และพัฒนางาน</w:t>
            </w:r>
            <w:r>
              <w:rPr>
                <w:rFonts w:ascii="TH SarabunPSK" w:hAnsi="TH SarabunPSK" w:cs="TH SarabunPSK" w:hint="cs"/>
                <w:spacing w:val="-4"/>
                <w:sz w:val="31"/>
                <w:szCs w:val="31"/>
                <w:cs/>
              </w:rPr>
              <w:t xml:space="preserve">   </w:t>
            </w:r>
            <w:r w:rsidRPr="009A63DA">
              <w:rPr>
                <w:rFonts w:ascii="TH SarabunPSK" w:hAnsi="TH SarabunPSK" w:cs="TH SarabunPSK"/>
                <w:spacing w:val="-4"/>
                <w:sz w:val="31"/>
                <w:szCs w:val="31"/>
                <w:cs/>
              </w:rPr>
              <w:t>ในส่วนที่เกี่ยวข้องได้ด้วย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9A63DA" w:rsidRDefault="003405DA" w:rsidP="003F23B1">
            <w:pPr>
              <w:ind w:left="34" w:hanging="680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9A63DA" w:rsidRDefault="003405DA" w:rsidP="003F23B1">
            <w:pPr>
              <w:ind w:left="34" w:hanging="680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3405DA" w:rsidRPr="009A63DA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Pr="009A63DA" w:rsidRDefault="009A63DA" w:rsidP="009A63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318" w:hanging="318"/>
              <w:rPr>
                <w:rFonts w:ascii="TH SarabunPSK" w:hAnsi="TH SarabunPSK" w:cs="TH SarabunPSK"/>
                <w:spacing w:val="-4"/>
                <w:sz w:val="31"/>
                <w:szCs w:val="31"/>
                <w:cs/>
              </w:rPr>
            </w:pPr>
            <w:r w:rsidRPr="009A63DA">
              <w:rPr>
                <w:rFonts w:ascii="TH SarabunPSK" w:hAnsi="TH SarabunPSK" w:cs="TH SarabunPSK" w:hint="cs"/>
                <w:spacing w:val="-6"/>
                <w:sz w:val="31"/>
                <w:szCs w:val="31"/>
                <w:cs/>
              </w:rPr>
              <w:t>แผนการ</w:t>
            </w:r>
            <w:r w:rsidRPr="009A63DA">
              <w:rPr>
                <w:rFonts w:ascii="TH SarabunPSK" w:hAnsi="TH SarabunPSK" w:cs="TH SarabunPSK" w:hint="cs"/>
                <w:spacing w:val="-4"/>
                <w:sz w:val="31"/>
                <w:szCs w:val="31"/>
                <w:cs/>
              </w:rPr>
              <w:t>บริหารความเสี่ยงของมหาวิทยาลัย เนื่องจาก</w:t>
            </w:r>
            <w:r w:rsidRPr="009A63DA">
              <w:rPr>
                <w:rFonts w:ascii="TH SarabunPSK" w:hAnsi="TH SarabunPSK" w:cs="TH SarabunPSK"/>
                <w:spacing w:val="-4"/>
                <w:sz w:val="31"/>
                <w:szCs w:val="31"/>
                <w:cs/>
              </w:rPr>
              <w:t xml:space="preserve">ร้อยละของบุคลากรที่ใช้ข้อบังคับ ระเบียบ ประกาศ </w:t>
            </w:r>
            <w:r w:rsidRPr="009A63DA">
              <w:rPr>
                <w:rFonts w:ascii="TH SarabunPSK" w:hAnsi="TH SarabunPSK" w:cs="TH SarabunPSK" w:hint="cs"/>
                <w:spacing w:val="-4"/>
                <w:sz w:val="31"/>
                <w:szCs w:val="31"/>
                <w:cs/>
              </w:rPr>
              <w:t xml:space="preserve"> </w:t>
            </w:r>
            <w:r w:rsidRPr="009A63DA">
              <w:rPr>
                <w:rFonts w:ascii="TH SarabunPSK" w:hAnsi="TH SarabunPSK" w:cs="TH SarabunPSK"/>
                <w:spacing w:val="-4"/>
                <w:sz w:val="31"/>
                <w:szCs w:val="31"/>
                <w:cs/>
              </w:rPr>
              <w:t>ในการปฏิบัติงานเข้ารับการอบรม และผ่านการทดสอบตามมาตรฐานที่กำหนด</w:t>
            </w:r>
            <w:r w:rsidRPr="009A63DA">
              <w:rPr>
                <w:rFonts w:ascii="TH SarabunPSK" w:hAnsi="TH SarabunPSK" w:cs="TH SarabunPSK" w:hint="cs"/>
                <w:spacing w:val="-4"/>
                <w:sz w:val="31"/>
                <w:szCs w:val="31"/>
                <w:cs/>
              </w:rPr>
              <w:t xml:space="preserve"> ต่ำกว่าเป้าหมายที่กำหนดไว้ จึงควร</w:t>
            </w:r>
            <w:r w:rsidRPr="009A63DA">
              <w:rPr>
                <w:rFonts w:ascii="TH SarabunPSK" w:hAnsi="TH SarabunPSK" w:cs="TH SarabunPSK"/>
                <w:spacing w:val="-4"/>
                <w:sz w:val="31"/>
                <w:szCs w:val="31"/>
                <w:cs/>
              </w:rPr>
              <w:t>วิเคราะห์ให้</w:t>
            </w:r>
            <w:r w:rsidRPr="009A63DA">
              <w:rPr>
                <w:rFonts w:ascii="TH SarabunPSK" w:hAnsi="TH SarabunPSK" w:cs="TH SarabunPSK" w:hint="cs"/>
                <w:spacing w:val="-4"/>
                <w:sz w:val="31"/>
                <w:szCs w:val="31"/>
                <w:cs/>
              </w:rPr>
              <w:t>เห็น</w:t>
            </w:r>
            <w:r w:rsidRPr="009A63DA">
              <w:rPr>
                <w:rFonts w:ascii="TH SarabunPSK" w:hAnsi="TH SarabunPSK" w:cs="TH SarabunPSK"/>
                <w:spacing w:val="-4"/>
                <w:sz w:val="31"/>
                <w:szCs w:val="31"/>
                <w:cs/>
              </w:rPr>
              <w:t>ภาพของกลุ่มผู้ปฏิบัติงานที่ผ่านการทดสอบตามมาตรฐาน ว่าแต่ละกลุ่มมีผลการประเมิน</w:t>
            </w:r>
            <w:r>
              <w:rPr>
                <w:rFonts w:ascii="TH SarabunPSK" w:hAnsi="TH SarabunPSK" w:cs="TH SarabunPSK" w:hint="cs"/>
                <w:spacing w:val="-4"/>
                <w:sz w:val="31"/>
                <w:szCs w:val="31"/>
                <w:cs/>
              </w:rPr>
              <w:t xml:space="preserve">     </w:t>
            </w:r>
            <w:r w:rsidRPr="009A63DA">
              <w:rPr>
                <w:rFonts w:ascii="TH SarabunPSK" w:hAnsi="TH SarabunPSK" w:cs="TH SarabunPSK"/>
                <w:spacing w:val="-4"/>
                <w:sz w:val="31"/>
                <w:szCs w:val="31"/>
                <w:cs/>
              </w:rPr>
              <w:t>เป็นอย่างไร โดยเฉพาะกลุ่มที่ปฏิบัติงานและส่งผลกระทบต่อธรรมาภิบาลของมหาวิทยาลัย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9A63DA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9A63DA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</w:tr>
      <w:tr w:rsidR="003405DA" w:rsidRPr="009A63DA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Pr="009A63DA" w:rsidRDefault="009A63DA" w:rsidP="009A63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A63D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ควรนำเทคนิคการบริหารจัดการความรู้มาขับเคลื่อนอย่างเป็นขั้นตอน ทั่วถึง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</w:t>
            </w:r>
            <w:r w:rsidRPr="009A63D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และจริงจัง เพื่อค้นหาแนวปฏิบัติที่ดี โดยพิจารณาความต้องการของส่วนงาน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  </w:t>
            </w:r>
            <w:r w:rsidRPr="009A63D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แล้วนำมาวางแผนกลยุทธ์การจัด </w:t>
            </w:r>
            <w:r w:rsidRPr="009A63DA">
              <w:rPr>
                <w:rFonts w:ascii="TH SarabunPSK" w:hAnsi="TH SarabunPSK" w:cs="TH SarabunPSK"/>
                <w:sz w:val="31"/>
                <w:szCs w:val="31"/>
              </w:rPr>
              <w:t xml:space="preserve">KM </w:t>
            </w:r>
            <w:r w:rsidRPr="009A63D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เพื่อขยายผลให้กว้างขวางขึ้น ซึ่งบุคลากรภายในส่วนงานต้องร่วมกันออกแบบหรือวางแนวปฏิบัติ โดยมีการติดตามและประเมินผลด้วย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9A63DA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9A63DA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</w:tr>
      <w:tr w:rsidR="003405DA" w:rsidRPr="009A63DA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Pr="009A63DA" w:rsidRDefault="009A63DA" w:rsidP="009A63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318" w:hanging="318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A63DA">
              <w:rPr>
                <w:rFonts w:ascii="TH SarabunPSK" w:hAnsi="TH SarabunPSK" w:cs="TH SarabunPSK"/>
                <w:spacing w:val="-4"/>
                <w:sz w:val="31"/>
                <w:szCs w:val="31"/>
                <w:cs/>
              </w:rPr>
              <w:t>ผู้บริหารระดับสูงของมหาวิทยาลัย ควรส่งเสริมสนับสนุนให้ผู้นำส่วนงานรุ่นใหม่ สามารถนำความรู้ ความสามารถและความกระตือรือร้นมาใช้ให้เป็นประโยชน์</w:t>
            </w:r>
            <w:r>
              <w:rPr>
                <w:rFonts w:ascii="TH SarabunPSK" w:hAnsi="TH SarabunPSK" w:cs="TH SarabunPSK" w:hint="cs"/>
                <w:spacing w:val="-4"/>
                <w:sz w:val="31"/>
                <w:szCs w:val="31"/>
                <w:cs/>
              </w:rPr>
              <w:t xml:space="preserve">        </w:t>
            </w:r>
            <w:r w:rsidRPr="009A63DA">
              <w:rPr>
                <w:rFonts w:ascii="TH SarabunPSK" w:hAnsi="TH SarabunPSK" w:cs="TH SarabunPSK"/>
                <w:spacing w:val="-4"/>
                <w:sz w:val="31"/>
                <w:szCs w:val="31"/>
                <w:cs/>
              </w:rPr>
              <w:t>ต่อส่วนงานและมหาวิทยาลัยได้อย่างทันการณ์มากขึ้น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9A63DA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9A63DA" w:rsidRDefault="003405DA" w:rsidP="003F23B1">
            <w:pPr>
              <w:ind w:left="34" w:right="-71" w:hanging="680"/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</w:tr>
    </w:tbl>
    <w:p w:rsidR="00A71038" w:rsidRPr="00200E73" w:rsidRDefault="00A71038" w:rsidP="002D20ED">
      <w:pPr>
        <w:pStyle w:val="ListParagraph"/>
        <w:rPr>
          <w:rFonts w:ascii="TH Sarabun New" w:hAnsi="TH Sarabun New" w:cs="TH Sarabun New"/>
          <w:color w:val="FF0000"/>
          <w:spacing w:val="2"/>
        </w:rPr>
      </w:pPr>
    </w:p>
    <w:p w:rsidR="008E5371" w:rsidRPr="008E5371" w:rsidRDefault="008E5371" w:rsidP="008E5371">
      <w:pPr>
        <w:pStyle w:val="ListParagraph"/>
        <w:jc w:val="center"/>
        <w:rPr>
          <w:rFonts w:ascii="TH Sarabun New" w:hAnsi="TH Sarabun New" w:cs="TH Sarabun New"/>
          <w:color w:val="FF0000"/>
          <w:spacing w:val="2"/>
        </w:rPr>
      </w:pPr>
      <w:r w:rsidRPr="00AA51C3">
        <w:rPr>
          <w:rFonts w:ascii="TH Sarabun New" w:hAnsi="TH Sarabun New" w:cs="TH Sarabun New" w:hint="cs"/>
          <w:color w:val="000000" w:themeColor="text1"/>
          <w:spacing w:val="2"/>
          <w:cs/>
        </w:rPr>
        <w:t>......................................</w:t>
      </w:r>
      <w:r w:rsidR="003F23B1" w:rsidRPr="008E5371">
        <w:rPr>
          <w:rFonts w:ascii="TH Sarabun New" w:hAnsi="TH Sarabun New" w:cs="TH Sarabun New"/>
          <w:color w:val="FF0000"/>
          <w:spacing w:val="2"/>
        </w:rPr>
        <w:t xml:space="preserve"> </w:t>
      </w:r>
    </w:p>
    <w:sectPr w:rsidR="008E5371" w:rsidRPr="008E5371" w:rsidSect="00846D85">
      <w:footerReference w:type="default" r:id="rId8"/>
      <w:pgSz w:w="16838" w:h="11906" w:orient="landscape"/>
      <w:pgMar w:top="993" w:right="851" w:bottom="709" w:left="284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D6" w:rsidRDefault="00CD36D6" w:rsidP="00CC7CB5">
      <w:r>
        <w:separator/>
      </w:r>
    </w:p>
  </w:endnote>
  <w:endnote w:type="continuationSeparator" w:id="0">
    <w:p w:rsidR="00CD36D6" w:rsidRDefault="00CD36D6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170879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1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D6" w:rsidRDefault="00CD36D6" w:rsidP="00CC7CB5">
      <w:r>
        <w:separator/>
      </w:r>
    </w:p>
  </w:footnote>
  <w:footnote w:type="continuationSeparator" w:id="0">
    <w:p w:rsidR="00CD36D6" w:rsidRDefault="00CD36D6" w:rsidP="00CC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602D4B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5471"/>
    <w:multiLevelType w:val="hybridMultilevel"/>
    <w:tmpl w:val="22C06666"/>
    <w:lvl w:ilvl="0" w:tplc="4DCE41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99B042A"/>
    <w:multiLevelType w:val="hybridMultilevel"/>
    <w:tmpl w:val="E05E2EF0"/>
    <w:lvl w:ilvl="0" w:tplc="2A160D1A">
      <w:start w:val="1"/>
      <w:numFmt w:val="decimal"/>
      <w:lvlText w:val="(%1)"/>
      <w:lvlJc w:val="left"/>
      <w:pPr>
        <w:ind w:left="103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BBE409F"/>
    <w:multiLevelType w:val="multilevel"/>
    <w:tmpl w:val="A72829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9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C12B3"/>
    <w:multiLevelType w:val="hybridMultilevel"/>
    <w:tmpl w:val="E344272E"/>
    <w:lvl w:ilvl="0" w:tplc="91E209D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16">
    <w:nsid w:val="5E6751BA"/>
    <w:multiLevelType w:val="hybridMultilevel"/>
    <w:tmpl w:val="D8FA9728"/>
    <w:lvl w:ilvl="0" w:tplc="3C9E020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D7100"/>
    <w:multiLevelType w:val="hybridMultilevel"/>
    <w:tmpl w:val="D6A4F5B6"/>
    <w:lvl w:ilvl="0" w:tplc="FE500DC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77A70807"/>
    <w:multiLevelType w:val="multilevel"/>
    <w:tmpl w:val="2B2485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sz w:val="32"/>
      </w:rPr>
    </w:lvl>
  </w:abstractNum>
  <w:abstractNum w:abstractNumId="19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83623"/>
    <w:multiLevelType w:val="multilevel"/>
    <w:tmpl w:val="7354C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12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20"/>
  </w:num>
  <w:num w:numId="11">
    <w:abstractNumId w:val="19"/>
  </w:num>
  <w:num w:numId="12">
    <w:abstractNumId w:val="11"/>
  </w:num>
  <w:num w:numId="13">
    <w:abstractNumId w:val="13"/>
  </w:num>
  <w:num w:numId="14">
    <w:abstractNumId w:val="15"/>
  </w:num>
  <w:num w:numId="15">
    <w:abstractNumId w:val="21"/>
  </w:num>
  <w:num w:numId="16">
    <w:abstractNumId w:val="1"/>
  </w:num>
  <w:num w:numId="17">
    <w:abstractNumId w:val="17"/>
  </w:num>
  <w:num w:numId="18">
    <w:abstractNumId w:val="16"/>
  </w:num>
  <w:num w:numId="19">
    <w:abstractNumId w:val="4"/>
  </w:num>
  <w:num w:numId="20">
    <w:abstractNumId w:val="14"/>
  </w:num>
  <w:num w:numId="21">
    <w:abstractNumId w:val="3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149D8"/>
    <w:rsid w:val="0001662D"/>
    <w:rsid w:val="00057C35"/>
    <w:rsid w:val="00092673"/>
    <w:rsid w:val="000A107B"/>
    <w:rsid w:val="000A3A2D"/>
    <w:rsid w:val="000C3F51"/>
    <w:rsid w:val="00107BF2"/>
    <w:rsid w:val="0011313D"/>
    <w:rsid w:val="00116013"/>
    <w:rsid w:val="001448E0"/>
    <w:rsid w:val="001560F5"/>
    <w:rsid w:val="001636D5"/>
    <w:rsid w:val="00170879"/>
    <w:rsid w:val="00172D6A"/>
    <w:rsid w:val="0017602F"/>
    <w:rsid w:val="00182FC2"/>
    <w:rsid w:val="00184459"/>
    <w:rsid w:val="001C670F"/>
    <w:rsid w:val="001E1C4A"/>
    <w:rsid w:val="001F206C"/>
    <w:rsid w:val="001F7695"/>
    <w:rsid w:val="00200E73"/>
    <w:rsid w:val="002D20ED"/>
    <w:rsid w:val="002D55A6"/>
    <w:rsid w:val="003405DA"/>
    <w:rsid w:val="003628D1"/>
    <w:rsid w:val="0038195A"/>
    <w:rsid w:val="003A1639"/>
    <w:rsid w:val="003E0803"/>
    <w:rsid w:val="003E3901"/>
    <w:rsid w:val="003F23B1"/>
    <w:rsid w:val="00406822"/>
    <w:rsid w:val="00430AF5"/>
    <w:rsid w:val="00455440"/>
    <w:rsid w:val="0046670C"/>
    <w:rsid w:val="0049702D"/>
    <w:rsid w:val="004B440A"/>
    <w:rsid w:val="004D469C"/>
    <w:rsid w:val="004E62DA"/>
    <w:rsid w:val="004F35C6"/>
    <w:rsid w:val="004F59DA"/>
    <w:rsid w:val="005350DE"/>
    <w:rsid w:val="00542705"/>
    <w:rsid w:val="00572A08"/>
    <w:rsid w:val="00583E43"/>
    <w:rsid w:val="005C3059"/>
    <w:rsid w:val="005F288A"/>
    <w:rsid w:val="00602307"/>
    <w:rsid w:val="0060573E"/>
    <w:rsid w:val="00646152"/>
    <w:rsid w:val="006734BF"/>
    <w:rsid w:val="00706D8B"/>
    <w:rsid w:val="007168DF"/>
    <w:rsid w:val="00774C62"/>
    <w:rsid w:val="0079505C"/>
    <w:rsid w:val="007A5A7A"/>
    <w:rsid w:val="007E7095"/>
    <w:rsid w:val="00802483"/>
    <w:rsid w:val="00811316"/>
    <w:rsid w:val="00836285"/>
    <w:rsid w:val="00846D85"/>
    <w:rsid w:val="0088243E"/>
    <w:rsid w:val="008E5371"/>
    <w:rsid w:val="00921450"/>
    <w:rsid w:val="00983792"/>
    <w:rsid w:val="00983B33"/>
    <w:rsid w:val="009903CE"/>
    <w:rsid w:val="009A63DA"/>
    <w:rsid w:val="009B06D8"/>
    <w:rsid w:val="009C1DE3"/>
    <w:rsid w:val="00A221A6"/>
    <w:rsid w:val="00A54896"/>
    <w:rsid w:val="00A71038"/>
    <w:rsid w:val="00A71D40"/>
    <w:rsid w:val="00AA271E"/>
    <w:rsid w:val="00AA51C3"/>
    <w:rsid w:val="00AA7E19"/>
    <w:rsid w:val="00AB2634"/>
    <w:rsid w:val="00AC4DA1"/>
    <w:rsid w:val="00AF37B0"/>
    <w:rsid w:val="00B21DFA"/>
    <w:rsid w:val="00B24400"/>
    <w:rsid w:val="00B51668"/>
    <w:rsid w:val="00B65CF5"/>
    <w:rsid w:val="00B74E4E"/>
    <w:rsid w:val="00B8468F"/>
    <w:rsid w:val="00B94D5C"/>
    <w:rsid w:val="00BB5F98"/>
    <w:rsid w:val="00BC4A84"/>
    <w:rsid w:val="00C106B1"/>
    <w:rsid w:val="00C528B0"/>
    <w:rsid w:val="00C5299F"/>
    <w:rsid w:val="00C6485A"/>
    <w:rsid w:val="00C674AF"/>
    <w:rsid w:val="00C937A3"/>
    <w:rsid w:val="00CA0A56"/>
    <w:rsid w:val="00CC7CB5"/>
    <w:rsid w:val="00CD2808"/>
    <w:rsid w:val="00CD36D6"/>
    <w:rsid w:val="00CF6E1C"/>
    <w:rsid w:val="00D05AA7"/>
    <w:rsid w:val="00D82ABE"/>
    <w:rsid w:val="00DC131A"/>
    <w:rsid w:val="00DC20B0"/>
    <w:rsid w:val="00DF03F3"/>
    <w:rsid w:val="00E10196"/>
    <w:rsid w:val="00E63C87"/>
    <w:rsid w:val="00EC26F1"/>
    <w:rsid w:val="00F40EA0"/>
    <w:rsid w:val="00F60BAF"/>
    <w:rsid w:val="00FB1F25"/>
    <w:rsid w:val="00FC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33BCB-787D-4148-BBFF-CA7A3BF3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7</cp:revision>
  <cp:lastPrinted>2020-03-13T06:38:00Z</cp:lastPrinted>
  <dcterms:created xsi:type="dcterms:W3CDTF">2020-03-06T08:53:00Z</dcterms:created>
  <dcterms:modified xsi:type="dcterms:W3CDTF">2020-03-13T10:10:00Z</dcterms:modified>
</cp:coreProperties>
</file>